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03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auto"/>
          <w:sz w:val="28"/>
          <w:szCs w:val="28"/>
          <w:lang w:eastAsia="zh-CN"/>
        </w:rPr>
        <w:t>红豆蔻</w:t>
      </w:r>
      <w:r>
        <w:rPr>
          <w:rFonts w:hint="eastAsia" w:ascii="黑体" w:hAnsi="黑体" w:eastAsia="黑体" w:cs="黑体"/>
          <w:b/>
          <w:bCs/>
          <w:color w:val="auto"/>
          <w:sz w:val="28"/>
          <w:szCs w:val="28"/>
        </w:rPr>
        <w:t>配方颗粒</w:t>
      </w:r>
    </w:p>
    <w:p w14:paraId="41618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Hongdoukou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 Peifangkeli</w:t>
      </w:r>
    </w:p>
    <w:p w14:paraId="0883DAA3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73F8A84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  <w:t>来源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 xml:space="preserve">】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本品为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姜科植物大高良姜</w:t>
      </w:r>
      <w:r>
        <w:rPr>
          <w:rFonts w:hint="default" w:ascii="Times New Roman" w:hAnsi="Times New Roman" w:eastAsia="宋体" w:cs="Times New Roman"/>
          <w:i/>
          <w:color w:val="auto"/>
          <w:sz w:val="21"/>
          <w:szCs w:val="21"/>
        </w:rPr>
        <w:t xml:space="preserve">Alpinia galanga </w:t>
      </w:r>
      <w:r>
        <w:rPr>
          <w:rFonts w:hint="default" w:ascii="Times New Roman" w:hAnsi="Times New Roman" w:eastAsia="宋体" w:cs="Times New Roman"/>
          <w:i w:val="0"/>
          <w:iCs/>
          <w:color w:val="auto"/>
          <w:sz w:val="21"/>
          <w:szCs w:val="21"/>
        </w:rPr>
        <w:t>Wild.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的干燥成熟果实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经炮制并按标准汤剂的主要质量指标加工制成的配方颗粒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。</w:t>
      </w:r>
    </w:p>
    <w:p w14:paraId="526A613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 xml:space="preserve">【制法】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取红豆蔻饮片7000g，加水煎煮，收集挥发油适量（以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  <w:highlight w:val="none"/>
        </w:rPr>
        <w:t>β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-环糊精包合，备用），滤过，滤液浓缩成清膏（干浸膏出膏率为7%~14%），加入挥发油包合物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，加入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辅料适量，干燥（或干燥，粉碎），再加入辅料适量，混匀，制粒，制成1000g，即得。</w:t>
      </w:r>
    </w:p>
    <w:p w14:paraId="5AC9C8F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【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>性状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】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本品为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棕黄色至黄棕色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的颗粒；气香，味微甜。</w:t>
      </w:r>
    </w:p>
    <w:p w14:paraId="72E24E0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 xml:space="preserve">【鉴别】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</w:rPr>
        <w:t>取本品1.5g，研细，加甲醇30ml，超声处理30分钟，滤过，滤液蒸干，残渣加水15ml使溶解，用三氯甲烷振摇提取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</w:rPr>
        <w:t>次，每次15ml，合并三氯甲烷液，蒸干，残渣加甲醇1ml使溶解，作为供试品溶液。另取红豆蔻对照药材2g，加水80ml，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煎煮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</w:rPr>
        <w:t>30分钟，滤过，滤液蒸干，残渣加甲醇30ml，同法制成对照药材溶液。照薄层色谱法（中国药典2020年版通则0502）试验，吸取上述两种溶液各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</w:rPr>
        <w:t>5μl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</w:rPr>
        <w:t>，分别点于同一硅胶G薄层板上，以三氯甲烷-甲酸乙酯-甲酸（5∶3∶0.5）为展开剂，展开，取出，晾干，喷以10%硫酸乙醇溶液，105℃下加热数分钟至显色清晰。供试品色谱中，在与对照药材色谱相应的位置上，显相同颜色的斑点。</w:t>
      </w:r>
    </w:p>
    <w:p w14:paraId="4140267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lang w:eastAsia="zh-CN"/>
        </w:rPr>
        <w:t>【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lang w:val="en-US" w:eastAsia="zh-CN"/>
        </w:rPr>
        <w:t>特征图谱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lang w:eastAsia="zh-CN"/>
        </w:rPr>
        <w:t>】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照高效液相色谱法（中国药典2020年版通则0512）测定。</w:t>
      </w:r>
    </w:p>
    <w:p w14:paraId="582707D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>色谱条件与系统适用性试验</w:t>
      </w:r>
      <w:r>
        <w:rPr>
          <w:rFonts w:hint="eastAsia" w:ascii="Times New Roman" w:hAnsi="Times New Roman" w:eastAsia="宋体" w:cs="Times New Roman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eastAsia="zh-CN"/>
        </w:rPr>
        <w:t>以十八烷基硅烷键合硅胶为填充剂（柱长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val="en-US" w:eastAsia="zh-CN"/>
        </w:rPr>
        <w:t>为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eastAsia="zh-CN"/>
        </w:rPr>
        <w:t>100mm，内径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val="en-US" w:eastAsia="zh-CN"/>
        </w:rPr>
        <w:t>为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eastAsia="zh-CN"/>
        </w:rPr>
        <w:t>2.1mm，粒径为1.8μm），以乙腈为流动相A，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val="en-US" w:eastAsia="zh-CN"/>
        </w:rPr>
        <w:t>以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eastAsia="zh-CN"/>
        </w:rPr>
        <w:t>0.1%磷酸溶液为流动相B，按下表中的规定进行梯度洗脱；流速为每分钟0.3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eastAsia="zh-CN"/>
        </w:rPr>
        <w:t>ml，柱温为30℃，检测波长为270nm。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理论板数按原儿茶酸峰计算应不低于5000。</w:t>
      </w:r>
    </w:p>
    <w:tbl>
      <w:tblPr>
        <w:tblStyle w:val="6"/>
        <w:tblW w:w="0" w:type="auto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1"/>
        <w:gridCol w:w="2721"/>
        <w:gridCol w:w="2721"/>
      </w:tblGrid>
      <w:tr w14:paraId="69B496A1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tcBorders>
              <w:top w:val="single" w:color="000000" w:sz="12" w:space="0"/>
              <w:bottom w:val="single" w:color="000000" w:sz="4" w:space="0"/>
            </w:tcBorders>
            <w:noWrap w:val="0"/>
            <w:vAlign w:val="center"/>
          </w:tcPr>
          <w:p w14:paraId="4CDBC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时间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分钟）</w:t>
            </w:r>
          </w:p>
        </w:tc>
        <w:tc>
          <w:tcPr>
            <w:tcW w:w="2721" w:type="dxa"/>
            <w:tcBorders>
              <w:top w:val="single" w:color="000000" w:sz="12" w:space="0"/>
              <w:bottom w:val="single" w:color="000000" w:sz="4" w:space="0"/>
            </w:tcBorders>
            <w:noWrap w:val="0"/>
            <w:vAlign w:val="center"/>
          </w:tcPr>
          <w:p w14:paraId="6044E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流动相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A(%)</w:t>
            </w:r>
          </w:p>
        </w:tc>
        <w:tc>
          <w:tcPr>
            <w:tcW w:w="2721" w:type="dxa"/>
            <w:tcBorders>
              <w:top w:val="single" w:color="000000" w:sz="12" w:space="0"/>
              <w:bottom w:val="single" w:color="000000" w:sz="4" w:space="0"/>
            </w:tcBorders>
            <w:noWrap w:val="0"/>
            <w:vAlign w:val="center"/>
          </w:tcPr>
          <w:p w14:paraId="71385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流动相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B(%)</w:t>
            </w:r>
          </w:p>
        </w:tc>
      </w:tr>
      <w:tr w14:paraId="1E1FC75F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tcBorders>
              <w:top w:val="single" w:color="000000" w:sz="4" w:space="0"/>
              <w:bottom w:val="nil"/>
            </w:tcBorders>
            <w:noWrap w:val="0"/>
            <w:vAlign w:val="center"/>
          </w:tcPr>
          <w:p w14:paraId="42E5D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0~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721" w:type="dxa"/>
            <w:tcBorders>
              <w:top w:val="single" w:color="000000" w:sz="4" w:space="0"/>
              <w:bottom w:val="nil"/>
            </w:tcBorders>
            <w:noWrap w:val="0"/>
            <w:vAlign w:val="center"/>
          </w:tcPr>
          <w:p w14:paraId="13AE5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4→9</w:t>
            </w:r>
          </w:p>
        </w:tc>
        <w:tc>
          <w:tcPr>
            <w:tcW w:w="2721" w:type="dxa"/>
            <w:tcBorders>
              <w:top w:val="single" w:color="000000" w:sz="4" w:space="0"/>
              <w:bottom w:val="nil"/>
            </w:tcBorders>
            <w:noWrap w:val="0"/>
            <w:vAlign w:val="center"/>
          </w:tcPr>
          <w:p w14:paraId="11F3D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9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→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91</w:t>
            </w:r>
          </w:p>
        </w:tc>
      </w:tr>
      <w:tr w14:paraId="50F871DC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tcBorders>
              <w:top w:val="nil"/>
              <w:bottom w:val="nil"/>
            </w:tcBorders>
            <w:noWrap w:val="0"/>
            <w:vAlign w:val="center"/>
          </w:tcPr>
          <w:p w14:paraId="346EF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~1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721" w:type="dxa"/>
            <w:tcBorders>
              <w:top w:val="nil"/>
              <w:bottom w:val="nil"/>
            </w:tcBorders>
            <w:noWrap w:val="0"/>
            <w:vAlign w:val="center"/>
          </w:tcPr>
          <w:p w14:paraId="3C827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→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2721" w:type="dxa"/>
            <w:tcBorders>
              <w:top w:val="nil"/>
              <w:bottom w:val="nil"/>
            </w:tcBorders>
            <w:noWrap w:val="0"/>
            <w:vAlign w:val="center"/>
          </w:tcPr>
          <w:p w14:paraId="3AAF1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91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→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82</w:t>
            </w:r>
          </w:p>
        </w:tc>
      </w:tr>
      <w:tr w14:paraId="7B4FAA39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tcBorders>
              <w:top w:val="nil"/>
              <w:bottom w:val="nil"/>
            </w:tcBorders>
            <w:noWrap w:val="0"/>
            <w:vAlign w:val="center"/>
          </w:tcPr>
          <w:p w14:paraId="57406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~2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721" w:type="dxa"/>
            <w:tcBorders>
              <w:top w:val="nil"/>
              <w:bottom w:val="nil"/>
            </w:tcBorders>
            <w:noWrap w:val="0"/>
            <w:vAlign w:val="center"/>
          </w:tcPr>
          <w:p w14:paraId="5661C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18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→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2721" w:type="dxa"/>
            <w:tcBorders>
              <w:top w:val="nil"/>
              <w:bottom w:val="nil"/>
            </w:tcBorders>
            <w:noWrap w:val="0"/>
            <w:vAlign w:val="center"/>
          </w:tcPr>
          <w:p w14:paraId="1C9B6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82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→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</w:tr>
      <w:tr w14:paraId="7DBEBBAB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tcBorders>
              <w:top w:val="nil"/>
              <w:bottom w:val="nil"/>
            </w:tcBorders>
            <w:noWrap w:val="0"/>
            <w:vAlign w:val="center"/>
          </w:tcPr>
          <w:p w14:paraId="2C00A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~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2721" w:type="dxa"/>
            <w:tcBorders>
              <w:top w:val="nil"/>
              <w:bottom w:val="nil"/>
            </w:tcBorders>
            <w:noWrap w:val="0"/>
            <w:vAlign w:val="center"/>
          </w:tcPr>
          <w:p w14:paraId="74157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→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2721" w:type="dxa"/>
            <w:tcBorders>
              <w:top w:val="nil"/>
              <w:bottom w:val="nil"/>
            </w:tcBorders>
            <w:noWrap w:val="0"/>
            <w:vAlign w:val="center"/>
          </w:tcPr>
          <w:p w14:paraId="49971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70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→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</w:tr>
      <w:tr w14:paraId="56899EB3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tcBorders>
              <w:top w:val="nil"/>
              <w:bottom w:val="single" w:color="auto" w:sz="12" w:space="0"/>
            </w:tcBorders>
            <w:noWrap w:val="0"/>
            <w:vAlign w:val="center"/>
          </w:tcPr>
          <w:p w14:paraId="6F319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28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~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721" w:type="dxa"/>
            <w:tcBorders>
              <w:top w:val="nil"/>
              <w:bottom w:val="single" w:color="auto" w:sz="12" w:space="0"/>
            </w:tcBorders>
            <w:noWrap w:val="0"/>
            <w:vAlign w:val="center"/>
          </w:tcPr>
          <w:p w14:paraId="125BB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2721" w:type="dxa"/>
            <w:tcBorders>
              <w:top w:val="nil"/>
              <w:bottom w:val="single" w:color="auto" w:sz="12" w:space="0"/>
            </w:tcBorders>
            <w:noWrap w:val="0"/>
            <w:vAlign w:val="center"/>
          </w:tcPr>
          <w:p w14:paraId="7CFA8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</w:tbl>
    <w:p w14:paraId="6561159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</w:rPr>
      </w:pPr>
    </w:p>
    <w:p w14:paraId="6768E32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lang w:val="en-US" w:eastAsia="zh-CN"/>
        </w:rPr>
        <w:t xml:space="preserve">参照物溶液制备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取红豆蔻对照药材1g，加水25ml，加热回流30分钟，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放冷，摇匀，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滤过，滤液蒸干，残渣加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80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%甲醇25ml，超声处理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（功率250W，频率40kHz）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30分钟，放冷，摇匀，滤过，取续滤液，作为对照药材参照物溶液。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另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取原儿茶酸对照品适量，加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80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%甲醇制成每1ml含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50μg的溶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液，作为对照品参照物溶液。</w:t>
      </w:r>
    </w:p>
    <w:p w14:paraId="65E2379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highlight w:val="none"/>
          <w:lang w:val="en-US" w:eastAsia="zh-CN"/>
        </w:rPr>
        <w:t>供试品溶液制备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取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本品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适量，研细，取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0.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g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，加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80%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甲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醇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25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ml，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超声处理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（功率为250W，频率为40kHz）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30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分钟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，放冷，摇匀，滤过，取续滤液，即得。</w:t>
      </w:r>
    </w:p>
    <w:p w14:paraId="20A7740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highlight w:val="none"/>
          <w:lang w:val="en-US" w:eastAsia="zh-CN"/>
        </w:rPr>
        <w:t xml:space="preserve">测定法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分别精密吸取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参照物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溶液与供试品溶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液各1μl，注入液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相色谱仪，测定，即得。</w:t>
      </w:r>
    </w:p>
    <w:p w14:paraId="709B820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供试品色谱中应呈现8个特征峰，并应与对照药材参照物色谱峰中的8个特征峰保留时间相对应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其中峰2应与对照品参照物峰保留时间相对应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以原儿茶酸参照物峰相对应的峰</w:t>
      </w:r>
      <w:bookmarkStart w:id="0" w:name="_GoBack"/>
      <w:bookmarkEnd w:id="0"/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为S峰，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计算峰3~峰8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与S峰的相对保留时间，其相对保留时间应在规定值的±10%范围之内，规定值为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1.56（峰3）、2.04（峰4）、2.39（峰5）、2.82（峰6）、2.94（峰7）、3.28（峰8）。</w:t>
      </w:r>
    </w:p>
    <w:p w14:paraId="421127B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drawing>
          <wp:inline distT="0" distB="0" distL="114300" distR="114300">
            <wp:extent cx="4946015" cy="1866265"/>
            <wp:effectExtent l="0" t="0" r="6985" b="635"/>
            <wp:docPr id="2" name="图片 2" descr="红豆蔻对照特征图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红豆蔻对照特征图谱"/>
                    <pic:cNvPicPr>
                      <a:picLocks noChangeAspect="1"/>
                    </pic:cNvPicPr>
                  </pic:nvPicPr>
                  <pic:blipFill>
                    <a:blip r:embed="rId6"/>
                    <a:srcRect r="6203"/>
                    <a:stretch>
                      <a:fillRect/>
                    </a:stretch>
                  </pic:blipFill>
                  <pic:spPr>
                    <a:xfrm>
                      <a:off x="0" y="0"/>
                      <a:ext cx="4946015" cy="186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3C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eastAsia="zh-CN"/>
        </w:rPr>
        <w:t>对照特征图谱</w:t>
      </w:r>
    </w:p>
    <w:p w14:paraId="58EB1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  <w:t>峰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2（S）：原儿茶酸</w:t>
      </w:r>
    </w:p>
    <w:p w14:paraId="2EBBA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  <w:t>色谱柱：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HSS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T3，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  <w:t>2.1mm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</w:rPr>
        <w:t>×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  <w:t>100mm，1.8μm</w:t>
      </w:r>
    </w:p>
    <w:p w14:paraId="58AF218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bCs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  <w:t>检查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 xml:space="preserve">】 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</w:rPr>
        <w:t>应符合颗粒剂项下有关的各项规定（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  <w:lang w:eastAsia="zh-CN"/>
        </w:rPr>
        <w:t>中国药典2020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</w:rPr>
        <w:t>年版通则0104）。</w:t>
      </w:r>
    </w:p>
    <w:p w14:paraId="3D81975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  <w:t>浸出物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 xml:space="preserve">】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取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</w:rPr>
        <w:t>本品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eastAsia="zh-CN"/>
        </w:rPr>
        <w:t>适量，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</w:rPr>
        <w:t>研细，取约2g，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精密称定，精密加入乙醇100ml，照醇溶性浸出物测定法（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中国药典2020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年版通则2201）项下的热浸法测定，不得少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u w:val="none"/>
          <w:lang w:val="en-US" w:eastAsia="zh-CN"/>
        </w:rPr>
        <w:t>10.0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u w:val="none"/>
        </w:rPr>
        <w:t>%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。</w:t>
      </w:r>
    </w:p>
    <w:p w14:paraId="7A27915C">
      <w:pPr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/>
        </w:rPr>
        <w:t>含量测定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照高效液相色谱法（中国药典2020年版通则0512）测定。</w:t>
      </w:r>
    </w:p>
    <w:p w14:paraId="07A7792F">
      <w:pPr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>色谱条件与系统适用性试验</w:t>
      </w:r>
      <w:r>
        <w:rPr>
          <w:rFonts w:hint="eastAsia" w:ascii="Times New Roman" w:hAnsi="Times New Roman" w:eastAsia="宋体" w:cs="Times New Roman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eastAsia="zh-CN"/>
        </w:rPr>
        <w:t>以十八烷基硅烷键合硅胶为填充剂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eastAsia="zh-CN"/>
        </w:rPr>
        <w:t>柱长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eastAsia="zh-CN"/>
        </w:rPr>
        <w:t>为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eastAsia="zh-CN"/>
        </w:rPr>
        <w:t>1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eastAsia="zh-CN"/>
        </w:rPr>
        <w:t>0mm，内径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eastAsia="zh-CN"/>
        </w:rPr>
        <w:t>为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eastAsia="zh-CN"/>
        </w:rPr>
        <w:t>2.1mm，粒径为1.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val="en-US" w:eastAsia="zh-CN"/>
        </w:rPr>
        <w:t>~1.7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1"/>
          <w:szCs w:val="21"/>
          <w:lang w:eastAsia="zh-CN"/>
        </w:rPr>
        <w:t>μm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）；以乙腈-0.1％磷酸溶液（10∶90）为流动相；流速为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每分钟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0.25ml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柱温为30℃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检测波长为260nm。理论板数按原儿茶酸峰计算应不低于5000。</w:t>
      </w:r>
    </w:p>
    <w:p w14:paraId="72451529">
      <w:pPr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lang w:val="en-US" w:eastAsia="zh-CN"/>
        </w:rPr>
        <w:t xml:space="preserve">对照品溶液制备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取原儿茶酸对照品适量，精密称定，加甲醇制成每1ml含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对照品35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0μg的对照品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溶液，即得。</w:t>
      </w:r>
    </w:p>
    <w:p w14:paraId="54F85E59">
      <w:pPr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21"/>
          <w:szCs w:val="21"/>
          <w:lang w:val="en-US" w:eastAsia="zh-CN"/>
        </w:rPr>
        <w:t>供试品溶液制备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 xml:space="preserve"> 取本品适量，研细，取约0.5g，精密称定，置具塞锥形瓶中，精密加入70%甲醇25ml，称定重量，超声处理（功率500W，频率40kHz）30分钟，放冷，再称定重量，用70%甲醇补足减失的重量，摇匀，滤过，取续滤液，即得。</w:t>
      </w:r>
    </w:p>
    <w:p w14:paraId="5620619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highlight w:val="none"/>
          <w:lang w:val="en-US" w:eastAsia="zh-CN"/>
        </w:rPr>
        <w:t xml:space="preserve">测定法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分别精密吸取对照品溶液与供试品溶液各1μl，注入液相色谱仪，测定，即得。</w:t>
      </w:r>
    </w:p>
    <w:p w14:paraId="12E1A72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本品每1g含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原儿茶酸（C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vertAlign w:val="subscript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H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vertAlign w:val="subscript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vertAlign w:val="subscript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）含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量应为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0.10mg~1.20mg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。</w:t>
      </w:r>
    </w:p>
    <w:p w14:paraId="7C853AB3">
      <w:pPr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【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>规格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】 每1g配方颗粒相当于饮片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g</w:t>
      </w:r>
    </w:p>
    <w:p w14:paraId="0DE42F4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 xml:space="preserve">【贮藏】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密封。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mMmNkZWYwMmY2M2MxY2VjOWU3ODQ1ZTNhZDRhNGYifQ=="/>
  </w:docVars>
  <w:rsids>
    <w:rsidRoot w:val="00000000"/>
    <w:rsid w:val="08E01FC2"/>
    <w:rsid w:val="13EA2964"/>
    <w:rsid w:val="1C9C5B46"/>
    <w:rsid w:val="21E22A16"/>
    <w:rsid w:val="2CC31D69"/>
    <w:rsid w:val="37B24018"/>
    <w:rsid w:val="3FD17C46"/>
    <w:rsid w:val="402B4AF5"/>
    <w:rsid w:val="422C0AEC"/>
    <w:rsid w:val="47413DB0"/>
    <w:rsid w:val="4846683E"/>
    <w:rsid w:val="4A941456"/>
    <w:rsid w:val="4B651B6D"/>
    <w:rsid w:val="53513120"/>
    <w:rsid w:val="53735F67"/>
    <w:rsid w:val="56FC3890"/>
    <w:rsid w:val="69270DB5"/>
    <w:rsid w:val="694F5DD1"/>
    <w:rsid w:val="6A356CA0"/>
    <w:rsid w:val="6BCC2BF3"/>
    <w:rsid w:val="70433998"/>
    <w:rsid w:val="725C010B"/>
    <w:rsid w:val="7278201F"/>
    <w:rsid w:val="76AD2434"/>
    <w:rsid w:val="7CD018DD"/>
    <w:rsid w:val="7E2A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360" w:lineRule="auto"/>
      <w:ind w:firstLine="480" w:firstLineChars="200"/>
      <w:jc w:val="both"/>
    </w:pPr>
    <w:rPr>
      <w:rFonts w:ascii="Times New Roman" w:hAnsi="Times New Roman" w:eastAsia="宋体" w:cs="黑体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widowControl w:val="0"/>
      <w:adjustRightInd w:val="0"/>
      <w:snapToGrid w:val="0"/>
      <w:spacing w:line="360" w:lineRule="auto"/>
      <w:ind w:firstLine="0" w:firstLineChars="0"/>
      <w:jc w:val="left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line="360" w:lineRule="auto"/>
      <w:outlineLvl w:val="1"/>
    </w:pPr>
    <w:rPr>
      <w:rFonts w:ascii="Times New Roman" w:hAnsi="Times New Roman" w:cs="Times New Roman"/>
      <w:b/>
      <w:bCs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styleId="7">
    <w:name w:val="Table Grid"/>
    <w:basedOn w:val="6"/>
    <w:qFormat/>
    <w:uiPriority w:val="59"/>
    <w:pPr>
      <w:jc w:val="center"/>
    </w:pPr>
    <w:rPr>
      <w:sz w:val="18"/>
    </w:rPr>
    <w:tblPr>
      <w:tblBorders>
        <w:top w:val="single" w:color="auto" w:sz="12" w:space="0"/>
        <w:bottom w:val="single" w:color="auto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bottom w:val="single" w:color="auto" w:sz="4" w:space="0"/>
        </w:tcBorders>
      </w:tcPr>
    </w:tblStylePr>
  </w:style>
  <w:style w:type="paragraph" w:customStyle="1" w:styleId="9">
    <w:name w:val="引用1"/>
    <w:basedOn w:val="1"/>
    <w:next w:val="1"/>
    <w:qFormat/>
    <w:uiPriority w:val="29"/>
    <w:pPr>
      <w:spacing w:line="240" w:lineRule="auto"/>
      <w:ind w:firstLine="0" w:firstLineChars="0"/>
      <w:jc w:val="center"/>
    </w:pPr>
    <w:rPr>
      <w:rFonts w:cs="Times New Roman"/>
      <w:iCs/>
      <w:color w:val="000000"/>
      <w:kern w:val="0"/>
      <w:sz w:val="18"/>
      <w:szCs w:val="20"/>
    </w:rPr>
  </w:style>
  <w:style w:type="paragraph" w:customStyle="1" w:styleId="10">
    <w:name w:val="样式2"/>
    <w:basedOn w:val="1"/>
    <w:qFormat/>
    <w:uiPriority w:val="0"/>
    <w:pPr>
      <w:ind w:firstLine="0" w:firstLineChars="0"/>
    </w:pPr>
    <w:rPr>
      <w:rFonts w:cs="Times New Roman"/>
      <w:kern w:val="0"/>
      <w:szCs w:val="20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paragraph" w:customStyle="1" w:styleId="13">
    <w:name w:val="Table Paragraph"/>
    <w:basedOn w:val="1"/>
    <w:qFormat/>
    <w:uiPriority w:val="1"/>
    <w:pPr>
      <w:spacing w:before="16"/>
      <w:ind w:left="701" w:right="722"/>
      <w:jc w:val="center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1505</Words>
  <Characters>1868</Characters>
  <Lines>0</Lines>
  <Paragraphs>0</Paragraphs>
  <TotalTime>19</TotalTime>
  <ScaleCrop>false</ScaleCrop>
  <LinksUpToDate>false</LinksUpToDate>
  <CharactersWithSpaces>1894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爱迪生1990</cp:lastModifiedBy>
  <dcterms:modified xsi:type="dcterms:W3CDTF">2024-09-13T08:02:42Z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488EE5A2CB7D4D5EB8D03DC00B822DA0_13</vt:lpwstr>
  </property>
</Properties>
</file>